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41" w:rsidRDefault="00F709EA">
      <w:pPr>
        <w:pStyle w:val="Heading1"/>
        <w:tabs>
          <w:tab w:val="clear" w:pos="1985"/>
          <w:tab w:val="clear" w:pos="6237"/>
          <w:tab w:val="center" w:pos="1800"/>
          <w:tab w:val="left" w:pos="3828"/>
          <w:tab w:val="center" w:pos="6096"/>
        </w:tabs>
        <w:rPr>
          <w:rFonts w:ascii="Times New Roman" w:hAnsi="Times New Roman"/>
          <w:sz w:val="26"/>
          <w:szCs w:val="28"/>
        </w:rPr>
      </w:pPr>
      <w:r>
        <w:rPr>
          <w:sz w:val="26"/>
        </w:rPr>
        <w:tab/>
        <w:t xml:space="preserve"> </w:t>
      </w:r>
      <w:r w:rsidR="00626129">
        <w:rPr>
          <w:rFonts w:ascii="Times New Roman" w:hAnsi="Times New Roman"/>
          <w:sz w:val="26"/>
          <w:szCs w:val="28"/>
        </w:rPr>
        <w:t xml:space="preserve">UBND TỈNH </w:t>
      </w:r>
      <w:r w:rsidR="00296F36">
        <w:rPr>
          <w:rFonts w:ascii="Times New Roman" w:hAnsi="Times New Roman"/>
          <w:sz w:val="26"/>
          <w:szCs w:val="28"/>
        </w:rPr>
        <w:t>TÂY NINH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626129">
        <w:rPr>
          <w:rFonts w:ascii="Times New Roman" w:hAnsi="Times New Roman"/>
          <w:b/>
          <w:sz w:val="26"/>
          <w:szCs w:val="28"/>
        </w:rPr>
        <w:t>CỘNG HÒA XÃ HỘI CHỦ NGHĨA VIỆT NAM</w:t>
      </w:r>
    </w:p>
    <w:p w:rsidR="00471941" w:rsidRDefault="00106C55">
      <w:pPr>
        <w:pStyle w:val="Heading1"/>
        <w:tabs>
          <w:tab w:val="clear" w:pos="1985"/>
          <w:tab w:val="clear" w:pos="6237"/>
          <w:tab w:val="center" w:pos="1800"/>
          <w:tab w:val="center" w:pos="64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8"/>
        </w:rPr>
        <w:t xml:space="preserve">     </w:t>
      </w:r>
      <w:r w:rsidR="00626129">
        <w:rPr>
          <w:rFonts w:ascii="Times New Roman" w:hAnsi="Times New Roman"/>
          <w:b/>
          <w:sz w:val="26"/>
          <w:szCs w:val="26"/>
        </w:rPr>
        <w:t xml:space="preserve">HỘI ĐỒNG ĐỊNH GIÁ </w:t>
      </w:r>
      <w:r w:rsidR="00626129">
        <w:rPr>
          <w:rFonts w:ascii="Times New Roman" w:hAnsi="Times New Roman"/>
          <w:b/>
          <w:sz w:val="26"/>
          <w:szCs w:val="26"/>
        </w:rPr>
        <w:tab/>
      </w:r>
      <w:r w:rsidR="00626129">
        <w:rPr>
          <w:rFonts w:ascii="Times New Roman" w:hAnsi="Times New Roman"/>
          <w:b/>
          <w:sz w:val="26"/>
          <w:szCs w:val="28"/>
        </w:rPr>
        <w:t>Độc lập - Tự do - Hạnh phúc</w:t>
      </w:r>
    </w:p>
    <w:p w:rsidR="00471941" w:rsidRDefault="00106C55">
      <w:pPr>
        <w:pStyle w:val="Heading1"/>
        <w:tabs>
          <w:tab w:val="clear" w:pos="1985"/>
          <w:tab w:val="clear" w:pos="6237"/>
          <w:tab w:val="center" w:pos="1800"/>
          <w:tab w:val="center" w:pos="6480"/>
        </w:tabs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</w:t>
      </w:r>
      <w:r w:rsidR="00626129">
        <w:rPr>
          <w:rFonts w:ascii="Times New Roman" w:hAnsi="Times New Roman"/>
          <w:b/>
          <w:sz w:val="26"/>
          <w:szCs w:val="26"/>
        </w:rPr>
        <w:t>TX TRONG TTHS</w:t>
      </w:r>
      <w:r w:rsidR="00626129">
        <w:rPr>
          <w:rFonts w:ascii="Times New Roman" w:hAnsi="Times New Roman"/>
          <w:b/>
          <w:sz w:val="26"/>
          <w:szCs w:val="28"/>
        </w:rPr>
        <w:tab/>
        <w:t xml:space="preserve">     </w:t>
      </w:r>
    </w:p>
    <w:p w:rsidR="00471941" w:rsidRDefault="00626129">
      <w:pPr>
        <w:pStyle w:val="Heading1"/>
        <w:tabs>
          <w:tab w:val="clear" w:pos="1985"/>
          <w:tab w:val="clear" w:pos="6237"/>
          <w:tab w:val="center" w:pos="1800"/>
          <w:tab w:val="center" w:pos="64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––––––––</w:t>
      </w:r>
      <w:r>
        <w:rPr>
          <w:rFonts w:ascii="Times New Roman" w:hAnsi="Times New Roman"/>
        </w:rPr>
        <w:tab/>
        <w:t xml:space="preserve">     ––––––––––––––––––––––––––</w:t>
      </w:r>
    </w:p>
    <w:p w:rsidR="00471941" w:rsidRDefault="00626129">
      <w:pPr>
        <w:pStyle w:val="Heading1"/>
        <w:tabs>
          <w:tab w:val="clear" w:pos="1985"/>
          <w:tab w:val="clear" w:pos="6237"/>
          <w:tab w:val="center" w:pos="1800"/>
          <w:tab w:val="center" w:pos="6480"/>
        </w:tabs>
        <w:rPr>
          <w:rFonts w:ascii="Times New Roman" w:hAnsi="Times New Roman"/>
          <w:sz w:val="27"/>
          <w:szCs w:val="27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196878</wp:posOffset>
                </wp:positionV>
                <wp:extent cx="2411290" cy="818984"/>
                <wp:effectExtent l="0" t="0" r="8255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290" cy="81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71941" w:rsidRDefault="0062612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V/v chào giá dịch vụ thẩm định giá tài sản </w:t>
                            </w:r>
                            <w:r w:rsidR="00B74FB3" w:rsidRPr="00B74FB3">
                              <w:rPr>
                                <w:sz w:val="24"/>
                                <w:szCs w:val="24"/>
                                <w:lang w:val="en-US"/>
                              </w:rPr>
                              <w:t>là bất động sản liên quan vụ án “Lợi dụng chức vụ quyền hạn trong thi hành công vụ”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4" o:spid="_x0000_s1026" style="position:absolute;margin-left:0;margin-top:15.5pt;width:189.85pt;height:6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" stroked="f">
                <v:path arrowok="t"/>
                <v:textbox>
                  <w:txbxContent>
                    <w:p w:rsidR="00471941" w:rsidRDefault="0062612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V/v chào giá dịch vụ thẩm định giá tài sản </w:t>
                      </w:r>
                      <w:r w:rsidR="00B74FB3" w:rsidRPr="00B74FB3">
                        <w:rPr>
                          <w:sz w:val="24"/>
                          <w:szCs w:val="24"/>
                          <w:lang w:val="en-US"/>
                        </w:rPr>
                        <w:t>là bất động sản liên quan vụ án “Lợi dụng chức vụ quyền hạn trong thi hành công vụ”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7"/>
          <w:szCs w:val="27"/>
        </w:rPr>
        <w:t>Số:         /</w:t>
      </w:r>
      <w:r>
        <w:rPr>
          <w:rFonts w:ascii="Times New Roman" w:hAnsi="Times New Roman"/>
          <w:sz w:val="28"/>
          <w:szCs w:val="24"/>
        </w:rPr>
        <w:t>CV-HĐĐGTS</w:t>
      </w:r>
      <w:r>
        <w:rPr>
          <w:rFonts w:ascii="Times New Roman" w:hAnsi="Times New Roman"/>
          <w:sz w:val="27"/>
          <w:szCs w:val="27"/>
        </w:rPr>
        <w:tab/>
        <w:t xml:space="preserve">        </w:t>
      </w:r>
      <w:r w:rsidR="00296F36">
        <w:rPr>
          <w:rFonts w:ascii="Times New Roman" w:hAnsi="Times New Roman"/>
          <w:i/>
          <w:sz w:val="27"/>
          <w:szCs w:val="27"/>
        </w:rPr>
        <w:t>Tây Ninh</w:t>
      </w:r>
      <w:r w:rsidR="00347352">
        <w:rPr>
          <w:rFonts w:ascii="Times New Roman" w:hAnsi="Times New Roman"/>
          <w:i/>
          <w:sz w:val="27"/>
          <w:szCs w:val="27"/>
        </w:rPr>
        <w:t>, ngày       tháng  11</w:t>
      </w:r>
      <w:r>
        <w:rPr>
          <w:rFonts w:ascii="Times New Roman" w:hAnsi="Times New Roman"/>
          <w:i/>
          <w:sz w:val="27"/>
          <w:szCs w:val="27"/>
        </w:rPr>
        <w:t xml:space="preserve">  năm 202</w:t>
      </w:r>
      <w:r w:rsidR="00296F36">
        <w:rPr>
          <w:rFonts w:ascii="Times New Roman" w:hAnsi="Times New Roman"/>
          <w:i/>
          <w:sz w:val="27"/>
          <w:szCs w:val="27"/>
        </w:rPr>
        <w:t>5</w:t>
      </w:r>
    </w:p>
    <w:p w:rsidR="00471941" w:rsidRDefault="00471941">
      <w:pPr>
        <w:spacing w:after="0" w:line="240" w:lineRule="auto"/>
        <w:rPr>
          <w:sz w:val="26"/>
          <w:lang w:val="en-US"/>
        </w:rPr>
      </w:pPr>
    </w:p>
    <w:p w:rsidR="00471941" w:rsidRDefault="00471941">
      <w:pPr>
        <w:spacing w:after="0" w:line="240" w:lineRule="auto"/>
        <w:rPr>
          <w:sz w:val="26"/>
          <w:lang w:val="en-US"/>
        </w:rPr>
      </w:pPr>
    </w:p>
    <w:p w:rsidR="00471941" w:rsidRDefault="00471941">
      <w:pPr>
        <w:spacing w:after="0" w:line="240" w:lineRule="auto"/>
        <w:ind w:firstLine="3240"/>
        <w:rPr>
          <w:lang w:val="en-US"/>
        </w:rPr>
      </w:pPr>
    </w:p>
    <w:p w:rsidR="00471941" w:rsidRDefault="00626129">
      <w:pPr>
        <w:tabs>
          <w:tab w:val="left" w:pos="360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</w:t>
      </w:r>
    </w:p>
    <w:p w:rsidR="00471941" w:rsidRDefault="00626129">
      <w:pPr>
        <w:tabs>
          <w:tab w:val="left" w:pos="360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</w:p>
    <w:p w:rsidR="00471941" w:rsidRDefault="00626129">
      <w:pPr>
        <w:tabs>
          <w:tab w:val="left" w:pos="3600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val="en-US"/>
        </w:rPr>
      </w:pPr>
      <w:r>
        <w:rPr>
          <w:lang w:val="en-US"/>
        </w:rPr>
        <w:tab/>
        <w:t xml:space="preserve">Kính gửi: </w:t>
      </w:r>
      <w:r w:rsidR="00822BC7">
        <w:rPr>
          <w:rFonts w:eastAsia="Times New Roman" w:cs="Times New Roman"/>
          <w:color w:val="000000"/>
          <w:szCs w:val="28"/>
          <w:lang w:val="en-US"/>
        </w:rPr>
        <w:t>Các D</w:t>
      </w:r>
      <w:r>
        <w:rPr>
          <w:rFonts w:eastAsia="Times New Roman" w:cs="Times New Roman"/>
          <w:color w:val="000000"/>
          <w:szCs w:val="28"/>
          <w:lang w:val="en-US"/>
        </w:rPr>
        <w:t>oanh nghiệp thẩm định giá.</w:t>
      </w:r>
    </w:p>
    <w:p w:rsidR="00471941" w:rsidRDefault="00471941">
      <w:pPr>
        <w:tabs>
          <w:tab w:val="left" w:pos="3600"/>
        </w:tabs>
        <w:spacing w:after="0" w:line="240" w:lineRule="auto"/>
        <w:jc w:val="both"/>
        <w:rPr>
          <w:lang w:val="en-US"/>
        </w:rPr>
      </w:pPr>
    </w:p>
    <w:p w:rsidR="00A808AD" w:rsidRDefault="00A808AD" w:rsidP="00604C17">
      <w:pPr>
        <w:widowControl w:val="0"/>
        <w:spacing w:before="120" w:after="120" w:line="240" w:lineRule="auto"/>
        <w:ind w:right="57" w:firstLine="709"/>
        <w:jc w:val="both"/>
        <w:rPr>
          <w:szCs w:val="28"/>
        </w:rPr>
      </w:pPr>
      <w:r w:rsidRPr="00A808AD">
        <w:rPr>
          <w:szCs w:val="28"/>
        </w:rPr>
        <w:t>Căn cứ Quyết định số 1488/QĐ-UBND ngày 31/7/2025 của UBND tỉnh về việc thành lập Hội đồng định giá thường xuyên trong tố tụng hình sự tỉnh Tây Ninh (HĐĐGTS);</w:t>
      </w:r>
    </w:p>
    <w:p w:rsidR="00471941" w:rsidRDefault="00626129" w:rsidP="00604C17">
      <w:pPr>
        <w:widowControl w:val="0"/>
        <w:spacing w:before="120" w:after="120" w:line="240" w:lineRule="auto"/>
        <w:ind w:right="57" w:firstLine="709"/>
        <w:jc w:val="both"/>
        <w:rPr>
          <w:szCs w:val="28"/>
          <w:lang w:val="de-DE"/>
        </w:rPr>
      </w:pPr>
      <w:r>
        <w:rPr>
          <w:szCs w:val="28"/>
        </w:rPr>
        <w:t>Căn cứ</w:t>
      </w:r>
      <w:r w:rsidR="004C7C47" w:rsidRPr="004C7C47">
        <w:rPr>
          <w:szCs w:val="28"/>
        </w:rPr>
        <w:t xml:space="preserve"> </w:t>
      </w:r>
      <w:r>
        <w:rPr>
          <w:szCs w:val="28"/>
          <w:lang w:val="de-DE"/>
        </w:rPr>
        <w:t>Yêu cầu định giá tài sả</w:t>
      </w:r>
      <w:r w:rsidR="004C7C47">
        <w:rPr>
          <w:szCs w:val="28"/>
          <w:lang w:val="de-DE"/>
        </w:rPr>
        <w:t>n</w:t>
      </w:r>
      <w:r w:rsidR="00100453">
        <w:rPr>
          <w:szCs w:val="28"/>
          <w:lang w:val="de-DE"/>
        </w:rPr>
        <w:t xml:space="preserve"> </w:t>
      </w:r>
      <w:r w:rsidR="006057DA">
        <w:rPr>
          <w:szCs w:val="28"/>
          <w:lang w:val="de-DE"/>
        </w:rPr>
        <w:t xml:space="preserve">số </w:t>
      </w:r>
      <w:r w:rsidR="00100453">
        <w:rPr>
          <w:szCs w:val="28"/>
          <w:lang w:val="de-DE"/>
        </w:rPr>
        <w:t>2</w:t>
      </w:r>
      <w:r w:rsidR="006057DA">
        <w:rPr>
          <w:szCs w:val="28"/>
          <w:lang w:val="de-DE"/>
        </w:rPr>
        <w:t>777/YC-CSĐT ngày 17/4</w:t>
      </w:r>
      <w:r w:rsidR="00100453">
        <w:rPr>
          <w:szCs w:val="28"/>
          <w:lang w:val="de-DE"/>
        </w:rPr>
        <w:t>/2025</w:t>
      </w:r>
      <w:r w:rsidR="004C7C47">
        <w:rPr>
          <w:szCs w:val="28"/>
          <w:lang w:val="de-DE"/>
        </w:rPr>
        <w:t xml:space="preserve"> của </w:t>
      </w:r>
      <w:r w:rsidR="004C7C47" w:rsidRPr="004C7C47">
        <w:rPr>
          <w:szCs w:val="28"/>
          <w:lang w:val="de-DE"/>
        </w:rPr>
        <w:t xml:space="preserve">Cơ quan </w:t>
      </w:r>
      <w:r w:rsidR="006057DA">
        <w:rPr>
          <w:szCs w:val="28"/>
          <w:lang w:val="de-DE"/>
        </w:rPr>
        <w:t>Cảnh sát</w:t>
      </w:r>
      <w:r w:rsidR="004C7C47" w:rsidRPr="004C7C47">
        <w:rPr>
          <w:szCs w:val="28"/>
          <w:lang w:val="de-DE"/>
        </w:rPr>
        <w:t xml:space="preserve"> điề</w:t>
      </w:r>
      <w:r w:rsidR="006057DA">
        <w:rPr>
          <w:szCs w:val="28"/>
          <w:lang w:val="de-DE"/>
        </w:rPr>
        <w:t xml:space="preserve">u tra - </w:t>
      </w:r>
      <w:r w:rsidR="004C7C47" w:rsidRPr="004C7C47">
        <w:rPr>
          <w:szCs w:val="28"/>
          <w:lang w:val="de-DE"/>
        </w:rPr>
        <w:t>Công an</w:t>
      </w:r>
      <w:r w:rsidR="006057DA">
        <w:rPr>
          <w:szCs w:val="28"/>
          <w:lang w:val="de-DE"/>
        </w:rPr>
        <w:t xml:space="preserve"> tỉnh Long An (nay là </w:t>
      </w:r>
      <w:r w:rsidR="006057DA" w:rsidRPr="006057DA">
        <w:rPr>
          <w:szCs w:val="28"/>
          <w:lang w:val="de-DE"/>
        </w:rPr>
        <w:t>Cơ quan Cảnh sát điều tra - Công an tỉnh</w:t>
      </w:r>
      <w:r w:rsidR="006057DA">
        <w:rPr>
          <w:szCs w:val="28"/>
          <w:lang w:val="de-DE"/>
        </w:rPr>
        <w:t xml:space="preserve"> Tây Ninh)</w:t>
      </w:r>
      <w:r w:rsidR="00DA214C">
        <w:rPr>
          <w:szCs w:val="28"/>
          <w:lang w:val="de-DE"/>
        </w:rPr>
        <w:t>;</w:t>
      </w:r>
    </w:p>
    <w:p w:rsidR="00DA214C" w:rsidRPr="00AE1FC4" w:rsidRDefault="00DA214C" w:rsidP="00604C17">
      <w:pPr>
        <w:widowControl w:val="0"/>
        <w:spacing w:before="120" w:after="120" w:line="240" w:lineRule="auto"/>
        <w:ind w:right="57" w:firstLine="709"/>
        <w:jc w:val="both"/>
        <w:rPr>
          <w:i/>
          <w:szCs w:val="28"/>
        </w:rPr>
      </w:pPr>
      <w:r>
        <w:rPr>
          <w:szCs w:val="28"/>
          <w:lang w:val="de-DE"/>
        </w:rPr>
        <w:t xml:space="preserve">Căn cứ Công văn số 7576/CV-HĐĐGTS ngày 25/11/2025 của </w:t>
      </w:r>
      <w:r w:rsidRPr="00DA214C">
        <w:rPr>
          <w:szCs w:val="28"/>
          <w:lang w:val="de-DE"/>
        </w:rPr>
        <w:t>HĐĐGTS</w:t>
      </w:r>
      <w:r w:rsidR="004C246C">
        <w:rPr>
          <w:szCs w:val="28"/>
          <w:lang w:val="de-DE"/>
        </w:rPr>
        <w:t xml:space="preserve"> về </w:t>
      </w:r>
      <w:r w:rsidR="004C246C" w:rsidRPr="00AE1FC4">
        <w:rPr>
          <w:szCs w:val="28"/>
          <w:lang w:val="de-DE"/>
        </w:rPr>
        <w:t>việc tiếp tục thực hiện định giá tài sản và bổ sung thông tin tài sản tại Yêu cầu định giá số 2777/YC-CSĐT ngày 17/4/2025 của Cơ quan Cảnh sát điều tra - Công an tỉnh.</w:t>
      </w:r>
    </w:p>
    <w:p w:rsidR="00471941" w:rsidRDefault="00626129" w:rsidP="00604C17">
      <w:pPr>
        <w:spacing w:before="120" w:after="120" w:line="240" w:lineRule="auto"/>
        <w:ind w:right="113" w:firstLine="720"/>
        <w:jc w:val="both"/>
        <w:rPr>
          <w:spacing w:val="-6"/>
          <w:szCs w:val="28"/>
          <w:lang w:val="pt-BR"/>
        </w:rPr>
      </w:pPr>
      <w:r w:rsidRPr="00AE1FC4">
        <w:t xml:space="preserve">Để có cơ sở lựa chọn đơn vị thực hiện dịch vụ thẩm định giá tài sản làm cơ sở xác định giá tài sản </w:t>
      </w:r>
      <w:r w:rsidR="00832899" w:rsidRPr="00AE1FC4">
        <w:t xml:space="preserve">là </w:t>
      </w:r>
      <w:r w:rsidR="00666AB8" w:rsidRPr="00666AB8">
        <w:t>B</w:t>
      </w:r>
      <w:r w:rsidR="00D9597A" w:rsidRPr="00AE1FC4">
        <w:t>ất động sản</w:t>
      </w:r>
      <w:r w:rsidR="00832899" w:rsidRPr="00AE1FC4">
        <w:t xml:space="preserve"> liên quan vụ án </w:t>
      </w:r>
      <w:r w:rsidR="00832899" w:rsidRPr="00AE1FC4">
        <w:rPr>
          <w:i/>
        </w:rPr>
        <w:t>“</w:t>
      </w:r>
      <w:r w:rsidR="00D53E29" w:rsidRPr="00AE1FC4">
        <w:rPr>
          <w:i/>
        </w:rPr>
        <w:t>Lợi dụng chức vụ quyền hạn trong thi hành công vụ</w:t>
      </w:r>
      <w:r w:rsidR="00832899" w:rsidRPr="00AE1FC4">
        <w:rPr>
          <w:i/>
        </w:rPr>
        <w:t>”</w:t>
      </w:r>
      <w:r w:rsidR="00832899" w:rsidRPr="00AE1FC4">
        <w:t xml:space="preserve"> xảy ra </w:t>
      </w:r>
      <w:r w:rsidR="00D53E29" w:rsidRPr="00AE1FC4">
        <w:t>trong quá trình xét bán lo nền ở công trình Khu dân cư Ao Lục Bình và K</w:t>
      </w:r>
      <w:r w:rsidR="00B370BC">
        <w:t xml:space="preserve">hu </w:t>
      </w:r>
      <w:r w:rsidR="00B370BC" w:rsidRPr="00B370BC">
        <w:t>L</w:t>
      </w:r>
      <w:r w:rsidR="00D53E29" w:rsidRPr="00AE1FC4">
        <w:t>àng nghề thị xã Kiến Tường</w:t>
      </w:r>
      <w:r w:rsidR="005F1DAB" w:rsidRPr="005F1DAB">
        <w:t>, tỉnh Long An</w:t>
      </w:r>
      <w:r w:rsidR="00D53E29" w:rsidRPr="00AE1FC4">
        <w:t xml:space="preserve"> (nay là Phường Kiến Tường, tỉnh Tây Ninh), giai đoạn</w:t>
      </w:r>
      <w:r w:rsidR="00D53E29" w:rsidRPr="00D53E29">
        <w:t xml:space="preserve"> 2011-2012</w:t>
      </w:r>
      <w:r w:rsidR="00832899" w:rsidRPr="00832899">
        <w:t xml:space="preserve"> </w:t>
      </w:r>
      <w:r w:rsidRPr="00A808AD">
        <w:t xml:space="preserve">theo Yêu cầu định giá </w:t>
      </w:r>
      <w:r w:rsidR="00AE1FC4" w:rsidRPr="00AE1FC4">
        <w:t>số 2777/YC-CSĐT ngày 17/4/2025 của Cơ quan Cảnh sát điều tra - Công an tỉnh</w:t>
      </w:r>
      <w:r w:rsidRPr="00A808AD">
        <w:t>, Chủ tịch HĐĐGTS trân trọng kính mờ</w:t>
      </w:r>
      <w:r w:rsidR="00F40BE9">
        <w:t>i quý</w:t>
      </w:r>
      <w:r w:rsidR="00F40BE9" w:rsidRPr="00F40BE9">
        <w:t xml:space="preserve"> Doanh nghiệp thẩm định giá</w:t>
      </w:r>
      <w:r w:rsidRPr="00A808AD">
        <w:t xml:space="preserve"> có kinh nghiệm trong lĩnh vực thẩm định giá </w:t>
      </w:r>
      <w:r w:rsidR="00832899">
        <w:t>tài</w:t>
      </w:r>
      <w:r w:rsidRPr="00A808AD">
        <w:t xml:space="preserve"> sản quan tâm cung cấp báo giá dịch vụ thẩm định giá của </w:t>
      </w:r>
      <w:r>
        <w:rPr>
          <w:spacing w:val="-6"/>
          <w:szCs w:val="28"/>
          <w:lang w:val="pt-BR"/>
        </w:rPr>
        <w:t>tài sản, với các nội dung như sau:</w:t>
      </w:r>
    </w:p>
    <w:p w:rsidR="00471941" w:rsidRPr="00A808AD" w:rsidRDefault="00626129" w:rsidP="00604C17">
      <w:pPr>
        <w:spacing w:before="120" w:after="120" w:line="240" w:lineRule="auto"/>
        <w:ind w:right="113" w:firstLine="1134"/>
        <w:jc w:val="both"/>
        <w:rPr>
          <w:b/>
        </w:rPr>
      </w:pPr>
      <w:r w:rsidRPr="00A808AD">
        <w:rPr>
          <w:b/>
        </w:rPr>
        <w:t>1. Tài sản định giá:</w:t>
      </w:r>
    </w:p>
    <w:p w:rsidR="00471941" w:rsidRDefault="00666AB8" w:rsidP="00604C17">
      <w:pPr>
        <w:widowControl w:val="0"/>
        <w:spacing w:before="120" w:after="120" w:line="240" w:lineRule="auto"/>
        <w:ind w:firstLine="1134"/>
        <w:jc w:val="both"/>
        <w:rPr>
          <w:szCs w:val="28"/>
        </w:rPr>
      </w:pPr>
      <w:r w:rsidRPr="00666AB8">
        <w:rPr>
          <w:szCs w:val="28"/>
        </w:rPr>
        <w:t>T</w:t>
      </w:r>
      <w:r w:rsidR="00626129">
        <w:rPr>
          <w:szCs w:val="28"/>
        </w:rPr>
        <w:t>ài sản</w:t>
      </w:r>
      <w:r w:rsidRPr="00666AB8">
        <w:rPr>
          <w:szCs w:val="28"/>
        </w:rPr>
        <w:t xml:space="preserve"> cần định giá</w:t>
      </w:r>
      <w:r w:rsidR="00626129">
        <w:rPr>
          <w:szCs w:val="28"/>
        </w:rPr>
        <w:t xml:space="preserve"> </w:t>
      </w:r>
      <w:r>
        <w:rPr>
          <w:szCs w:val="28"/>
        </w:rPr>
        <w:t xml:space="preserve">là </w:t>
      </w:r>
      <w:r w:rsidRPr="00666AB8">
        <w:rPr>
          <w:szCs w:val="28"/>
        </w:rPr>
        <w:t>B</w:t>
      </w:r>
      <w:r w:rsidR="00F40BE9" w:rsidRPr="00F40BE9">
        <w:rPr>
          <w:szCs w:val="28"/>
        </w:rPr>
        <w:t>ất động sản liên quan vụ án “Lợi dụng chức vụ quyền hạn trong thi hành công vụ” xảy ra trong quá trình x</w:t>
      </w:r>
      <w:r w:rsidR="00775506">
        <w:rPr>
          <w:szCs w:val="28"/>
        </w:rPr>
        <w:t>ét bán lô</w:t>
      </w:r>
      <w:r w:rsidR="00F40BE9" w:rsidRPr="00F40BE9">
        <w:rPr>
          <w:szCs w:val="28"/>
        </w:rPr>
        <w:t xml:space="preserve"> nền ở công trình Khu dân cư Ao Lục Bình và Khu Làng nghề thị xã Kiến Tường, tỉnh Long An (nay là Phường Kiến Tường, tỉnh Tây Ninh)</w:t>
      </w:r>
      <w:r w:rsidR="00645C2A" w:rsidRPr="00645C2A">
        <w:rPr>
          <w:szCs w:val="28"/>
        </w:rPr>
        <w:t>; thời điểm định giá là thời điểm</w:t>
      </w:r>
      <w:r w:rsidRPr="00666AB8">
        <w:rPr>
          <w:szCs w:val="28"/>
        </w:rPr>
        <w:t xml:space="preserve"> theo các quyết định giao đất của UBND huyện Mộc Hoá/UBND thị xã Kiến Tường cho 48 trường hợp lô nền thuộc dự án Khu dân cư Ao Lục Bình, thị xã Kiến Tường</w:t>
      </w:r>
      <w:r w:rsidR="00626129">
        <w:rPr>
          <w:color w:val="000000"/>
          <w:szCs w:val="28"/>
        </w:rPr>
        <w:t>.</w:t>
      </w:r>
      <w:r w:rsidR="00626129">
        <w:rPr>
          <w:szCs w:val="28"/>
        </w:rPr>
        <w:t xml:space="preserve">  </w:t>
      </w:r>
    </w:p>
    <w:p w:rsidR="00471941" w:rsidRPr="002847B1" w:rsidRDefault="00626129" w:rsidP="00604C17">
      <w:pPr>
        <w:tabs>
          <w:tab w:val="left" w:pos="993"/>
        </w:tabs>
        <w:spacing w:before="120" w:after="120" w:line="240" w:lineRule="auto"/>
        <w:ind w:right="113" w:firstLine="1134"/>
        <w:jc w:val="both"/>
      </w:pPr>
      <w:r w:rsidRPr="002847B1">
        <w:rPr>
          <w:b/>
          <w:u w:val="single"/>
        </w:rPr>
        <w:t>Đính kèm</w:t>
      </w:r>
      <w:r w:rsidRPr="002847B1">
        <w:t>:</w:t>
      </w:r>
    </w:p>
    <w:p w:rsidR="002847B1" w:rsidRDefault="006C217B" w:rsidP="00666AB8">
      <w:pPr>
        <w:widowControl w:val="0"/>
        <w:pBdr>
          <w:top w:val="none" w:sz="4" w:space="5" w:color="000000"/>
        </w:pBdr>
        <w:spacing w:before="120" w:after="120" w:line="240" w:lineRule="auto"/>
        <w:ind w:left="567" w:firstLine="567"/>
        <w:jc w:val="both"/>
        <w:rPr>
          <w:szCs w:val="28"/>
        </w:rPr>
      </w:pPr>
      <w:r w:rsidRPr="00AC6019">
        <w:rPr>
          <w:color w:val="000000"/>
          <w:szCs w:val="28"/>
        </w:rPr>
        <w:t xml:space="preserve">- </w:t>
      </w:r>
      <w:r w:rsidR="00775506" w:rsidRPr="00775506">
        <w:rPr>
          <w:color w:val="000000"/>
          <w:szCs w:val="28"/>
        </w:rPr>
        <w:t>Các quyết định giao đất;</w:t>
      </w:r>
    </w:p>
    <w:p w:rsidR="00775506" w:rsidRDefault="00775506" w:rsidP="00775506">
      <w:pPr>
        <w:widowControl w:val="0"/>
        <w:spacing w:before="120" w:after="120" w:line="240" w:lineRule="auto"/>
        <w:ind w:left="567" w:firstLine="567"/>
        <w:jc w:val="both"/>
      </w:pPr>
      <w:r>
        <w:rPr>
          <w:color w:val="000000" w:themeColor="text1"/>
          <w:sz w:val="27"/>
          <w:szCs w:val="27"/>
        </w:rPr>
        <w:t xml:space="preserve">- </w:t>
      </w:r>
      <w:r w:rsidRPr="00FF317D">
        <w:rPr>
          <w:color w:val="000000" w:themeColor="text1"/>
          <w:sz w:val="27"/>
          <w:szCs w:val="27"/>
        </w:rPr>
        <w:t>Các tài liệu khác thể hiện tính pháp lý, đặc điểm kinh tế – kỹ thuật của tài sản</w:t>
      </w:r>
      <w:r>
        <w:rPr>
          <w:color w:val="000000" w:themeColor="text1"/>
          <w:sz w:val="27"/>
          <w:szCs w:val="27"/>
        </w:rPr>
        <w:t xml:space="preserve"> cần định giá</w:t>
      </w:r>
      <w:r w:rsidRPr="00FF317D">
        <w:rPr>
          <w:color w:val="000000" w:themeColor="text1"/>
          <w:sz w:val="27"/>
          <w:szCs w:val="27"/>
        </w:rPr>
        <w:t>.</w:t>
      </w:r>
    </w:p>
    <w:p w:rsidR="00471941" w:rsidRPr="002847B1" w:rsidRDefault="00626129" w:rsidP="00604C17">
      <w:pPr>
        <w:tabs>
          <w:tab w:val="left" w:pos="1276"/>
        </w:tabs>
        <w:spacing w:before="120" w:after="120" w:line="240" w:lineRule="auto"/>
        <w:ind w:right="113" w:firstLine="1134"/>
        <w:jc w:val="both"/>
      </w:pPr>
      <w:r w:rsidRPr="002847B1">
        <w:rPr>
          <w:b/>
        </w:rPr>
        <w:lastRenderedPageBreak/>
        <w:t>2. Cung cấp thông tin:</w:t>
      </w:r>
    </w:p>
    <w:p w:rsidR="00471941" w:rsidRPr="002847B1" w:rsidRDefault="00626129" w:rsidP="00604C17">
      <w:pPr>
        <w:tabs>
          <w:tab w:val="left" w:pos="1276"/>
        </w:tabs>
        <w:spacing w:before="120" w:after="120" w:line="240" w:lineRule="auto"/>
        <w:ind w:right="113" w:firstLine="1134"/>
        <w:jc w:val="both"/>
      </w:pPr>
      <w:r w:rsidRPr="002847B1">
        <w:t xml:space="preserve">Thông báo này được đăng tải lên trang thông tin điện tử của Sở Tài chính tỉnh </w:t>
      </w:r>
      <w:r w:rsidR="007654A0" w:rsidRPr="002847B1">
        <w:t>Tây Ninh</w:t>
      </w:r>
      <w:r w:rsidRPr="002847B1">
        <w:t xml:space="preserve">: </w:t>
      </w:r>
      <w:hyperlink r:id="rId7" w:history="1">
        <w:r w:rsidR="006A32C0" w:rsidRPr="00A27957">
          <w:rPr>
            <w:rStyle w:val="Hyperlink"/>
          </w:rPr>
          <w:t>http://stc.tayninh.gov.vn</w:t>
        </w:r>
      </w:hyperlink>
      <w:r w:rsidRPr="002847B1">
        <w:t>.</w:t>
      </w:r>
    </w:p>
    <w:p w:rsidR="00471941" w:rsidRPr="002847B1" w:rsidRDefault="00626129" w:rsidP="00604C17">
      <w:pPr>
        <w:tabs>
          <w:tab w:val="left" w:pos="1276"/>
        </w:tabs>
        <w:spacing w:before="120" w:after="120" w:line="240" w:lineRule="auto"/>
        <w:ind w:right="113" w:firstLine="1134"/>
        <w:jc w:val="both"/>
      </w:pPr>
      <w:r w:rsidRPr="002847B1">
        <w:t xml:space="preserve">Thời gian nhận báo giá: Từ ngày đăng tải thông tin và phát hành văn bản này </w:t>
      </w:r>
      <w:r w:rsidRPr="002847B1">
        <w:rPr>
          <w:b/>
        </w:rPr>
        <w:t xml:space="preserve">đến hết ngày </w:t>
      </w:r>
      <w:r w:rsidR="00EA76D3" w:rsidRPr="00EA76D3">
        <w:rPr>
          <w:b/>
        </w:rPr>
        <w:t>03/</w:t>
      </w:r>
      <w:r w:rsidR="00AC7FDA" w:rsidRPr="002847B1">
        <w:rPr>
          <w:b/>
        </w:rPr>
        <w:t>1</w:t>
      </w:r>
      <w:r w:rsidR="00067089" w:rsidRPr="00F73EE5">
        <w:rPr>
          <w:b/>
        </w:rPr>
        <w:t>2</w:t>
      </w:r>
      <w:r w:rsidRPr="002847B1">
        <w:rPr>
          <w:b/>
        </w:rPr>
        <w:t>/202</w:t>
      </w:r>
      <w:r w:rsidR="00797DB4" w:rsidRPr="002847B1">
        <w:rPr>
          <w:b/>
        </w:rPr>
        <w:t>5</w:t>
      </w:r>
      <w:r w:rsidRPr="002847B1">
        <w:t xml:space="preserve"> </w:t>
      </w:r>
      <w:r w:rsidRPr="002847B1">
        <w:rPr>
          <w:i/>
        </w:rPr>
        <w:t xml:space="preserve">(tính theo ngày Sở Tài chính tỉnh </w:t>
      </w:r>
      <w:r w:rsidR="00A96683" w:rsidRPr="002847B1">
        <w:rPr>
          <w:i/>
        </w:rPr>
        <w:t>Tây Ninh</w:t>
      </w:r>
      <w:r w:rsidRPr="002847B1">
        <w:rPr>
          <w:i/>
        </w:rPr>
        <w:t xml:space="preserve"> nhận được hồ sơ theo đường bưu điện hoặc dấu nhận trực tiếp tại Sở Tài chính tỉnh </w:t>
      </w:r>
      <w:r w:rsidR="00314D80" w:rsidRPr="002847B1">
        <w:rPr>
          <w:i/>
        </w:rPr>
        <w:t>Tây Ninh</w:t>
      </w:r>
      <w:r w:rsidRPr="002847B1">
        <w:rPr>
          <w:i/>
        </w:rPr>
        <w:t>)</w:t>
      </w:r>
      <w:r w:rsidRPr="002847B1">
        <w:t>.</w:t>
      </w:r>
    </w:p>
    <w:p w:rsidR="00471941" w:rsidRPr="002847B1" w:rsidRDefault="00626129" w:rsidP="00604C17">
      <w:pPr>
        <w:tabs>
          <w:tab w:val="left" w:pos="1276"/>
        </w:tabs>
        <w:spacing w:before="120" w:after="120" w:line="240" w:lineRule="auto"/>
        <w:ind w:right="113" w:firstLine="1134"/>
        <w:jc w:val="both"/>
      </w:pPr>
      <w:r w:rsidRPr="002847B1">
        <w:t xml:space="preserve">Thông tin nhận báo giá: Sở Tài chính </w:t>
      </w:r>
      <w:r w:rsidR="00591F39" w:rsidRPr="002847B1">
        <w:t>Tây Ninh</w:t>
      </w:r>
      <w:r w:rsidRPr="002847B1">
        <w:t xml:space="preserve">, địa chỉ: số </w:t>
      </w:r>
      <w:r w:rsidR="00B45622" w:rsidRPr="002847B1">
        <w:t>61</w:t>
      </w:r>
      <w:r w:rsidRPr="002847B1">
        <w:t xml:space="preserve"> Trương Định, </w:t>
      </w:r>
      <w:r w:rsidR="00B45622" w:rsidRPr="002847B1">
        <w:t>phường</w:t>
      </w:r>
      <w:r w:rsidRPr="002847B1">
        <w:t xml:space="preserve"> Long An</w:t>
      </w:r>
      <w:r w:rsidR="00B45622" w:rsidRPr="002847B1">
        <w:t>, tỉnh Tây Ninh</w:t>
      </w:r>
      <w:r w:rsidRPr="002847B1">
        <w:t xml:space="preserve">. </w:t>
      </w:r>
    </w:p>
    <w:p w:rsidR="00471941" w:rsidRPr="002847B1" w:rsidRDefault="00626129" w:rsidP="00604C17">
      <w:pPr>
        <w:pStyle w:val="ListParagraph"/>
        <w:tabs>
          <w:tab w:val="left" w:pos="1418"/>
        </w:tabs>
        <w:spacing w:before="120" w:after="120" w:line="240" w:lineRule="auto"/>
        <w:ind w:left="0" w:right="113" w:firstLine="1134"/>
        <w:jc w:val="both"/>
      </w:pPr>
      <w:r w:rsidRPr="002847B1">
        <w:t xml:space="preserve">Đề nghị quý </w:t>
      </w:r>
      <w:r w:rsidR="00775506" w:rsidRPr="00775506">
        <w:t>Doanh nghiệp thẩm định giá</w:t>
      </w:r>
      <w:r w:rsidRPr="002847B1">
        <w:t xml:space="preserve"> quan tâm gửi văn bản chào giá dịch vụ thẩm định giá tài sản nêu trên </w:t>
      </w:r>
      <w:r>
        <w:rPr>
          <w:spacing w:val="-6"/>
          <w:szCs w:val="28"/>
          <w:lang w:val="pt-BR"/>
        </w:rPr>
        <w:t xml:space="preserve">gửi </w:t>
      </w:r>
      <w:r w:rsidRPr="002847B1">
        <w:t>về Sở Tài chính để tổng hợp xét chọn đơn vị thẩm định giá theo quy định.</w:t>
      </w:r>
    </w:p>
    <w:p w:rsidR="00471941" w:rsidRPr="00EF3E7F" w:rsidRDefault="00626129" w:rsidP="00604C17">
      <w:pPr>
        <w:pStyle w:val="ListParagraph"/>
        <w:tabs>
          <w:tab w:val="left" w:pos="1418"/>
        </w:tabs>
        <w:spacing w:before="120" w:after="120" w:line="240" w:lineRule="auto"/>
        <w:ind w:left="0" w:right="113" w:firstLine="1134"/>
        <w:jc w:val="both"/>
      </w:pPr>
      <w:r w:rsidRPr="00EF3E7F">
        <w:t>Mọ</w:t>
      </w:r>
      <w:r w:rsidR="00B45622" w:rsidRPr="00EF3E7F">
        <w:t>i</w:t>
      </w:r>
      <w:r w:rsidRPr="00EF3E7F">
        <w:t xml:space="preserve"> thắc mắc về thông tin báo giá, vui lòng li</w:t>
      </w:r>
      <w:r w:rsidR="00DA70EA" w:rsidRPr="00DA70EA">
        <w:t>ê</w:t>
      </w:r>
      <w:r w:rsidRPr="00EF3E7F">
        <w:t xml:space="preserve">n hệ qua số điện thoại/zalo </w:t>
      </w:r>
      <w:r w:rsidR="00775506">
        <w:t>09</w:t>
      </w:r>
      <w:r w:rsidR="00591605" w:rsidRPr="00591605">
        <w:t>.</w:t>
      </w:r>
      <w:r w:rsidR="00775506">
        <w:t>8801</w:t>
      </w:r>
      <w:r w:rsidR="00775506" w:rsidRPr="00775506">
        <w:t>.</w:t>
      </w:r>
      <w:r w:rsidR="00775506">
        <w:t>8701</w:t>
      </w:r>
      <w:r w:rsidRPr="00EF3E7F">
        <w:t xml:space="preserve">, gặp đồng chí </w:t>
      </w:r>
      <w:r w:rsidR="00FD2E11" w:rsidRPr="00EF3E7F">
        <w:t>Nguyễ</w:t>
      </w:r>
      <w:r w:rsidR="00775506">
        <w:t xml:space="preserve">n </w:t>
      </w:r>
      <w:r w:rsidR="00775506" w:rsidRPr="00775506">
        <w:t>Ngọc Tú Anh</w:t>
      </w:r>
      <w:r w:rsidRPr="00EF3E7F">
        <w:t xml:space="preserve"> để được hướng dẫn.</w:t>
      </w:r>
    </w:p>
    <w:p w:rsidR="00471941" w:rsidRDefault="00626129" w:rsidP="00604C17">
      <w:pPr>
        <w:spacing w:before="120" w:after="120" w:line="240" w:lineRule="auto"/>
        <w:ind w:left="340" w:right="113" w:firstLine="720"/>
        <w:jc w:val="both"/>
        <w:rPr>
          <w:lang w:val="en-US"/>
        </w:rPr>
      </w:pPr>
      <w:r>
        <w:rPr>
          <w:lang w:val="en-US"/>
        </w:rPr>
        <w:t>Trân trọng cảm ơn./.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3969"/>
      </w:tblGrid>
      <w:tr w:rsidR="00471941">
        <w:trPr>
          <w:trHeight w:val="2014"/>
        </w:trPr>
        <w:tc>
          <w:tcPr>
            <w:tcW w:w="4962" w:type="dxa"/>
          </w:tcPr>
          <w:p w:rsidR="00471941" w:rsidRDefault="00626129">
            <w:pPr>
              <w:pStyle w:val="BlockText"/>
              <w:tabs>
                <w:tab w:val="center" w:pos="7200"/>
              </w:tabs>
              <w:spacing w:before="0" w:after="0"/>
              <w:ind w:left="0" w:right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Nơi nhận</w:t>
            </w:r>
            <w:r>
              <w:rPr>
                <w:rFonts w:ascii="Times New Roman" w:hAnsi="Times New Roman"/>
                <w:i/>
                <w:sz w:val="22"/>
              </w:rPr>
              <w:t>: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:rsidR="00471941" w:rsidRDefault="00626129">
            <w:pPr>
              <w:pStyle w:val="BlockText"/>
              <w:tabs>
                <w:tab w:val="center" w:pos="7200"/>
              </w:tabs>
              <w:spacing w:before="0" w:after="0"/>
              <w:ind w:left="0" w:righ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Như trên;</w:t>
            </w:r>
          </w:p>
          <w:p w:rsidR="00471941" w:rsidRDefault="00626129" w:rsidP="00D615E2">
            <w:pPr>
              <w:pStyle w:val="BlockText"/>
              <w:tabs>
                <w:tab w:val="center" w:pos="7200"/>
              </w:tabs>
              <w:spacing w:before="0" w:after="0"/>
              <w:ind w:left="0" w:right="0" w:firstLine="0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</w:rPr>
              <w:t xml:space="preserve">- Lưu: VT, </w:t>
            </w:r>
            <w:r w:rsidR="00D615E2">
              <w:rPr>
                <w:rFonts w:ascii="Times New Roman" w:hAnsi="Times New Roman"/>
                <w:sz w:val="22"/>
              </w:rPr>
              <w:t>GCS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 w:rsidR="00775506">
              <w:rPr>
                <w:rFonts w:ascii="Times New Roman" w:hAnsi="Times New Roman"/>
                <w:sz w:val="22"/>
              </w:rPr>
              <w:t>T/Anh</w:t>
            </w:r>
            <w:r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</w:t>
            </w:r>
          </w:p>
        </w:tc>
        <w:tc>
          <w:tcPr>
            <w:tcW w:w="3969" w:type="dxa"/>
          </w:tcPr>
          <w:p w:rsidR="00471941" w:rsidRDefault="00626129">
            <w:pPr>
              <w:pStyle w:val="BlockText"/>
              <w:spacing w:before="0" w:after="0"/>
              <w:ind w:left="0" w:right="0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TỊCH HĐĐGTS</w:t>
            </w:r>
          </w:p>
          <w:p w:rsidR="00471941" w:rsidRDefault="00471941">
            <w:pPr>
              <w:pStyle w:val="BlockText"/>
              <w:spacing w:before="0" w:after="0"/>
              <w:ind w:left="0" w:right="0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471941" w:rsidRDefault="00471941">
            <w:pPr>
              <w:pStyle w:val="BlockText"/>
              <w:spacing w:before="0" w:after="0"/>
              <w:ind w:left="0" w:right="0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471941" w:rsidRDefault="00471941">
            <w:pPr>
              <w:pStyle w:val="BlockText"/>
              <w:spacing w:before="0" w:after="0"/>
              <w:ind w:left="0" w:right="0" w:firstLine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471941" w:rsidRDefault="00626129">
            <w:pPr>
              <w:pStyle w:val="BlockText"/>
              <w:spacing w:before="0" w:after="0"/>
              <w:ind w:left="0" w:right="0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</w:t>
            </w:r>
          </w:p>
          <w:p w:rsidR="00471941" w:rsidRDefault="00626129">
            <w:pPr>
              <w:pStyle w:val="BlockText"/>
              <w:spacing w:before="0" w:after="0"/>
              <w:ind w:left="0" w:right="0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        </w:t>
            </w:r>
          </w:p>
          <w:p w:rsidR="00471941" w:rsidRDefault="00626129">
            <w:pPr>
              <w:pStyle w:val="BlockText"/>
              <w:spacing w:before="0" w:after="0"/>
              <w:ind w:left="0" w:right="0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Phó Giám đốc Sở Tài chính</w:t>
            </w:r>
          </w:p>
          <w:p w:rsidR="00471941" w:rsidRDefault="00626129">
            <w:pPr>
              <w:pStyle w:val="BlockText"/>
              <w:spacing w:before="0" w:after="0"/>
              <w:ind w:left="0" w:right="0"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Hồ Quốc Công</w:t>
            </w:r>
          </w:p>
        </w:tc>
      </w:tr>
    </w:tbl>
    <w:p w:rsidR="00471941" w:rsidRDefault="00471941">
      <w:pPr>
        <w:spacing w:before="120" w:after="120" w:line="240" w:lineRule="auto"/>
        <w:ind w:left="340" w:right="113" w:firstLine="720"/>
        <w:jc w:val="both"/>
        <w:rPr>
          <w:lang w:val="en-US"/>
        </w:rPr>
      </w:pPr>
    </w:p>
    <w:sectPr w:rsidR="00471941">
      <w:headerReference w:type="default" r:id="rId8"/>
      <w:footerReference w:type="default" r:id="rId9"/>
      <w:footerReference w:type="first" r:id="rId10"/>
      <w:pgSz w:w="11906" w:h="16838"/>
      <w:pgMar w:top="1134" w:right="1133" w:bottom="540" w:left="1701" w:header="568" w:footer="2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815" w:rsidRDefault="008A4815">
      <w:pPr>
        <w:spacing w:after="0" w:line="240" w:lineRule="auto"/>
      </w:pPr>
      <w:r>
        <w:separator/>
      </w:r>
    </w:p>
  </w:endnote>
  <w:endnote w:type="continuationSeparator" w:id="0">
    <w:p w:rsidR="008A4815" w:rsidRDefault="008A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Wingdings 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41" w:rsidRDefault="00471941">
    <w:pPr>
      <w:spacing w:after="0" w:line="240" w:lineRule="auto"/>
      <w:jc w:val="both"/>
      <w:rPr>
        <w:b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41" w:rsidRDefault="00471941">
    <w:pPr>
      <w:spacing w:after="0" w:line="240" w:lineRule="auto"/>
      <w:ind w:firstLine="426"/>
      <w:rPr>
        <w:rFonts w:eastAsia="Times New Roman" w:cs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815" w:rsidRDefault="008A4815">
      <w:pPr>
        <w:spacing w:after="0" w:line="240" w:lineRule="auto"/>
      </w:pPr>
      <w:r>
        <w:separator/>
      </w:r>
    </w:p>
  </w:footnote>
  <w:footnote w:type="continuationSeparator" w:id="0">
    <w:p w:rsidR="008A4815" w:rsidRDefault="008A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714819"/>
      <w:docPartObj>
        <w:docPartGallery w:val="Page Numbers (Top of Page)"/>
        <w:docPartUnique/>
      </w:docPartObj>
    </w:sdtPr>
    <w:sdtEndPr/>
    <w:sdtContent>
      <w:p w:rsidR="00471941" w:rsidRDefault="00626129">
        <w:pPr>
          <w:pStyle w:val="Head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F82F3B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471941" w:rsidRDefault="00471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555F"/>
    <w:multiLevelType w:val="hybridMultilevel"/>
    <w:tmpl w:val="C3B20BFE"/>
    <w:lvl w:ilvl="0" w:tplc="562439D6">
      <w:start w:val="1"/>
      <w:numFmt w:val="decimal"/>
      <w:lvlText w:val="%1."/>
      <w:lvlJc w:val="left"/>
      <w:pPr>
        <w:ind w:left="1420" w:hanging="360"/>
      </w:pPr>
      <w:rPr>
        <w:rFonts w:hint="default"/>
        <w:color w:val="000000"/>
      </w:rPr>
    </w:lvl>
    <w:lvl w:ilvl="1" w:tplc="32BEED2A">
      <w:start w:val="1"/>
      <w:numFmt w:val="lowerLetter"/>
      <w:lvlText w:val="%2."/>
      <w:lvlJc w:val="left"/>
      <w:pPr>
        <w:ind w:left="2140" w:hanging="360"/>
      </w:pPr>
    </w:lvl>
    <w:lvl w:ilvl="2" w:tplc="0EFE7DD4">
      <w:start w:val="1"/>
      <w:numFmt w:val="lowerRoman"/>
      <w:lvlText w:val="%3."/>
      <w:lvlJc w:val="right"/>
      <w:pPr>
        <w:ind w:left="2860" w:hanging="180"/>
      </w:pPr>
    </w:lvl>
    <w:lvl w:ilvl="3" w:tplc="C234CA56">
      <w:start w:val="1"/>
      <w:numFmt w:val="decimal"/>
      <w:lvlText w:val="%4."/>
      <w:lvlJc w:val="left"/>
      <w:pPr>
        <w:ind w:left="3580" w:hanging="360"/>
      </w:pPr>
    </w:lvl>
    <w:lvl w:ilvl="4" w:tplc="F19476B4">
      <w:start w:val="1"/>
      <w:numFmt w:val="lowerLetter"/>
      <w:lvlText w:val="%5."/>
      <w:lvlJc w:val="left"/>
      <w:pPr>
        <w:ind w:left="4300" w:hanging="360"/>
      </w:pPr>
    </w:lvl>
    <w:lvl w:ilvl="5" w:tplc="5B483C52">
      <w:start w:val="1"/>
      <w:numFmt w:val="lowerRoman"/>
      <w:lvlText w:val="%6."/>
      <w:lvlJc w:val="right"/>
      <w:pPr>
        <w:ind w:left="5020" w:hanging="180"/>
      </w:pPr>
    </w:lvl>
    <w:lvl w:ilvl="6" w:tplc="A154983C">
      <w:start w:val="1"/>
      <w:numFmt w:val="decimal"/>
      <w:lvlText w:val="%7."/>
      <w:lvlJc w:val="left"/>
      <w:pPr>
        <w:ind w:left="5740" w:hanging="360"/>
      </w:pPr>
    </w:lvl>
    <w:lvl w:ilvl="7" w:tplc="D430C7AA">
      <w:start w:val="1"/>
      <w:numFmt w:val="lowerLetter"/>
      <w:lvlText w:val="%8."/>
      <w:lvlJc w:val="left"/>
      <w:pPr>
        <w:ind w:left="6460" w:hanging="360"/>
      </w:pPr>
    </w:lvl>
    <w:lvl w:ilvl="8" w:tplc="45F64036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21154914"/>
    <w:multiLevelType w:val="hybridMultilevel"/>
    <w:tmpl w:val="6C80F708"/>
    <w:lvl w:ilvl="0" w:tplc="6ECE573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A3D"/>
        <w:spacing w:val="0"/>
        <w:position w:val="0"/>
        <w:sz w:val="26"/>
        <w:szCs w:val="26"/>
        <w:u w:val="none"/>
        <w:shd w:val="clear" w:color="auto" w:fill="auto"/>
      </w:rPr>
    </w:lvl>
    <w:lvl w:ilvl="1" w:tplc="7CC61FCE">
      <w:start w:val="1"/>
      <w:numFmt w:val="decimal"/>
      <w:lvlText w:val=""/>
      <w:lvlJc w:val="left"/>
    </w:lvl>
    <w:lvl w:ilvl="2" w:tplc="8D48A090">
      <w:start w:val="1"/>
      <w:numFmt w:val="decimal"/>
      <w:lvlText w:val=""/>
      <w:lvlJc w:val="left"/>
    </w:lvl>
    <w:lvl w:ilvl="3" w:tplc="3C562CFC">
      <w:start w:val="1"/>
      <w:numFmt w:val="decimal"/>
      <w:lvlText w:val=""/>
      <w:lvlJc w:val="left"/>
    </w:lvl>
    <w:lvl w:ilvl="4" w:tplc="360A7CF2">
      <w:start w:val="1"/>
      <w:numFmt w:val="decimal"/>
      <w:lvlText w:val=""/>
      <w:lvlJc w:val="left"/>
    </w:lvl>
    <w:lvl w:ilvl="5" w:tplc="F1FA8B26">
      <w:start w:val="1"/>
      <w:numFmt w:val="decimal"/>
      <w:lvlText w:val=""/>
      <w:lvlJc w:val="left"/>
    </w:lvl>
    <w:lvl w:ilvl="6" w:tplc="D0DE6EF4">
      <w:start w:val="1"/>
      <w:numFmt w:val="decimal"/>
      <w:lvlText w:val=""/>
      <w:lvlJc w:val="left"/>
    </w:lvl>
    <w:lvl w:ilvl="7" w:tplc="DE0C24F2">
      <w:start w:val="1"/>
      <w:numFmt w:val="decimal"/>
      <w:lvlText w:val=""/>
      <w:lvlJc w:val="left"/>
    </w:lvl>
    <w:lvl w:ilvl="8" w:tplc="AC467FF4">
      <w:start w:val="1"/>
      <w:numFmt w:val="decimal"/>
      <w:lvlText w:val=""/>
      <w:lvlJc w:val="left"/>
    </w:lvl>
  </w:abstractNum>
  <w:abstractNum w:abstractNumId="2" w15:restartNumberingAfterBreak="0">
    <w:nsid w:val="239D6B3C"/>
    <w:multiLevelType w:val="multilevel"/>
    <w:tmpl w:val="B4E080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78005E8"/>
    <w:multiLevelType w:val="hybridMultilevel"/>
    <w:tmpl w:val="AC642164"/>
    <w:lvl w:ilvl="0" w:tplc="9572E38A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4AAE2D13"/>
    <w:multiLevelType w:val="hybridMultilevel"/>
    <w:tmpl w:val="B9265D9E"/>
    <w:lvl w:ilvl="0" w:tplc="F1AE3728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55AAC61E">
      <w:start w:val="1"/>
      <w:numFmt w:val="lowerLetter"/>
      <w:lvlText w:val="%2."/>
      <w:lvlJc w:val="left"/>
      <w:pPr>
        <w:ind w:left="2140" w:hanging="360"/>
      </w:pPr>
    </w:lvl>
    <w:lvl w:ilvl="2" w:tplc="2AC069E2">
      <w:start w:val="1"/>
      <w:numFmt w:val="lowerRoman"/>
      <w:lvlText w:val="%3."/>
      <w:lvlJc w:val="right"/>
      <w:pPr>
        <w:ind w:left="2860" w:hanging="180"/>
      </w:pPr>
    </w:lvl>
    <w:lvl w:ilvl="3" w:tplc="843448B0">
      <w:start w:val="1"/>
      <w:numFmt w:val="decimal"/>
      <w:lvlText w:val="%4."/>
      <w:lvlJc w:val="left"/>
      <w:pPr>
        <w:ind w:left="3580" w:hanging="360"/>
      </w:pPr>
    </w:lvl>
    <w:lvl w:ilvl="4" w:tplc="182E028C">
      <w:start w:val="1"/>
      <w:numFmt w:val="lowerLetter"/>
      <w:lvlText w:val="%5."/>
      <w:lvlJc w:val="left"/>
      <w:pPr>
        <w:ind w:left="4300" w:hanging="360"/>
      </w:pPr>
    </w:lvl>
    <w:lvl w:ilvl="5" w:tplc="24E269AC">
      <w:start w:val="1"/>
      <w:numFmt w:val="lowerRoman"/>
      <w:lvlText w:val="%6."/>
      <w:lvlJc w:val="right"/>
      <w:pPr>
        <w:ind w:left="5020" w:hanging="180"/>
      </w:pPr>
    </w:lvl>
    <w:lvl w:ilvl="6" w:tplc="76CCF4DA">
      <w:start w:val="1"/>
      <w:numFmt w:val="decimal"/>
      <w:lvlText w:val="%7."/>
      <w:lvlJc w:val="left"/>
      <w:pPr>
        <w:ind w:left="5740" w:hanging="360"/>
      </w:pPr>
    </w:lvl>
    <w:lvl w:ilvl="7" w:tplc="D01E9192">
      <w:start w:val="1"/>
      <w:numFmt w:val="lowerLetter"/>
      <w:lvlText w:val="%8."/>
      <w:lvlJc w:val="left"/>
      <w:pPr>
        <w:ind w:left="6460" w:hanging="360"/>
      </w:pPr>
    </w:lvl>
    <w:lvl w:ilvl="8" w:tplc="302C4DA0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59E022E8"/>
    <w:multiLevelType w:val="hybridMultilevel"/>
    <w:tmpl w:val="CF9627FE"/>
    <w:lvl w:ilvl="0" w:tplc="C4AC9266">
      <w:start w:val="1"/>
      <w:numFmt w:val="bullet"/>
      <w:lvlText w:val="-"/>
      <w:lvlJc w:val="left"/>
      <w:pPr>
        <w:ind w:left="6314" w:hanging="360"/>
      </w:pPr>
      <w:rPr>
        <w:rFonts w:ascii="Times New Roman" w:eastAsia="Calibri" w:hAnsi="Times New Roman" w:cs="Times New Roman" w:hint="default"/>
      </w:rPr>
    </w:lvl>
    <w:lvl w:ilvl="1" w:tplc="B7363B0E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FB6E4DE6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C0865C7E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D0E8EFA2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D7D6B1FE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E77402D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E6886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7952D9D0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41"/>
    <w:rsid w:val="00067089"/>
    <w:rsid w:val="000A3643"/>
    <w:rsid w:val="000C07DF"/>
    <w:rsid w:val="00100453"/>
    <w:rsid w:val="00106C55"/>
    <w:rsid w:val="001602CD"/>
    <w:rsid w:val="00166268"/>
    <w:rsid w:val="001E5267"/>
    <w:rsid w:val="002079DC"/>
    <w:rsid w:val="00250682"/>
    <w:rsid w:val="002847B1"/>
    <w:rsid w:val="00296F36"/>
    <w:rsid w:val="002B564E"/>
    <w:rsid w:val="002C22B4"/>
    <w:rsid w:val="00314D80"/>
    <w:rsid w:val="00347352"/>
    <w:rsid w:val="003B44D7"/>
    <w:rsid w:val="00471941"/>
    <w:rsid w:val="004C246C"/>
    <w:rsid w:val="004C7C47"/>
    <w:rsid w:val="00591605"/>
    <w:rsid w:val="00591F39"/>
    <w:rsid w:val="005F1DAB"/>
    <w:rsid w:val="00604C17"/>
    <w:rsid w:val="006057DA"/>
    <w:rsid w:val="00626129"/>
    <w:rsid w:val="00645C2A"/>
    <w:rsid w:val="00666AB8"/>
    <w:rsid w:val="006A32C0"/>
    <w:rsid w:val="006C217B"/>
    <w:rsid w:val="00731467"/>
    <w:rsid w:val="007348E2"/>
    <w:rsid w:val="007654A0"/>
    <w:rsid w:val="00775506"/>
    <w:rsid w:val="00797DB4"/>
    <w:rsid w:val="00822BC7"/>
    <w:rsid w:val="00832899"/>
    <w:rsid w:val="008A4815"/>
    <w:rsid w:val="008A66E3"/>
    <w:rsid w:val="00967AF8"/>
    <w:rsid w:val="00A02CB9"/>
    <w:rsid w:val="00A348D5"/>
    <w:rsid w:val="00A37FA1"/>
    <w:rsid w:val="00A808AD"/>
    <w:rsid w:val="00A96683"/>
    <w:rsid w:val="00AB049C"/>
    <w:rsid w:val="00AC6019"/>
    <w:rsid w:val="00AC7FDA"/>
    <w:rsid w:val="00AE1FC4"/>
    <w:rsid w:val="00AE2221"/>
    <w:rsid w:val="00B32884"/>
    <w:rsid w:val="00B370BC"/>
    <w:rsid w:val="00B45622"/>
    <w:rsid w:val="00B7431C"/>
    <w:rsid w:val="00B74FB3"/>
    <w:rsid w:val="00C043CE"/>
    <w:rsid w:val="00C17B17"/>
    <w:rsid w:val="00D177FD"/>
    <w:rsid w:val="00D41802"/>
    <w:rsid w:val="00D53E29"/>
    <w:rsid w:val="00D615E2"/>
    <w:rsid w:val="00D81BBA"/>
    <w:rsid w:val="00D9597A"/>
    <w:rsid w:val="00DA214C"/>
    <w:rsid w:val="00DA70EA"/>
    <w:rsid w:val="00E33151"/>
    <w:rsid w:val="00EA76D3"/>
    <w:rsid w:val="00EF3E7F"/>
    <w:rsid w:val="00F40BE9"/>
    <w:rsid w:val="00F709EA"/>
    <w:rsid w:val="00F724C8"/>
    <w:rsid w:val="00F73EE5"/>
    <w:rsid w:val="00F82F3B"/>
    <w:rsid w:val="00FD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98B1C-FEAB-4DB0-8269-6211813A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8"/>
        <w:szCs w:val="22"/>
        <w:lang w:val="vi-VN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1985"/>
        <w:tab w:val="center" w:pos="6237"/>
      </w:tabs>
      <w:spacing w:after="0" w:line="240" w:lineRule="auto"/>
      <w:outlineLvl w:val="0"/>
    </w:pPr>
    <w:rPr>
      <w:rFonts w:ascii="VNI-Times" w:eastAsia="Times New Roman" w:hAnsi="VNI-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Heading1Char">
    <w:name w:val="Heading 1 Char"/>
    <w:basedOn w:val="DefaultParagraphFont"/>
    <w:link w:val="Heading1"/>
    <w:rPr>
      <w:rFonts w:ascii="VNI-Times" w:eastAsia="Times New Roman" w:hAnsi="VNI-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Cs w:val="24"/>
      <w:lang w:val="en-US"/>
    </w:rPr>
  </w:style>
  <w:style w:type="paragraph" w:styleId="BodyTextIndent">
    <w:name w:val="Body Text Indent"/>
    <w:basedOn w:val="Normal"/>
    <w:link w:val="BodyTextIndentChar"/>
    <w:pPr>
      <w:spacing w:after="0" w:line="288" w:lineRule="auto"/>
      <w:ind w:left="187" w:firstLine="720"/>
      <w:jc w:val="both"/>
    </w:pPr>
    <w:rPr>
      <w:rFonts w:ascii="VNI-Times" w:eastAsia="Times New Roman" w:hAnsi="VNI-Times" w:cs="Times New Roman"/>
      <w:sz w:val="26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VNI-Times" w:eastAsia="Times New Roman" w:hAnsi="VNI-Times" w:cs="Times New Roman"/>
      <w:sz w:val="2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lockText">
    <w:name w:val="Block Text"/>
    <w:basedOn w:val="Normal"/>
    <w:pPr>
      <w:keepLines/>
      <w:widowControl w:val="0"/>
      <w:spacing w:before="120" w:after="120" w:line="240" w:lineRule="auto"/>
      <w:ind w:left="540" w:right="425" w:firstLine="900"/>
      <w:jc w:val="both"/>
    </w:pPr>
    <w:rPr>
      <w:rFonts w:ascii="VNI-Times" w:eastAsia="Times New Roman" w:hAnsi="VNI-Times" w:cs="Times New Roman"/>
      <w:sz w:val="26"/>
      <w:szCs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Vnbnnidung">
    <w:name w:val="Văn bản nội dung_"/>
    <w:basedOn w:val="DefaultParagraphFont"/>
    <w:link w:val="Vnbnnidung0"/>
    <w:rPr>
      <w:rFonts w:eastAsia="Times New Roman" w:cs="Times New Roman"/>
      <w:color w:val="221D20"/>
      <w:sz w:val="26"/>
      <w:szCs w:val="26"/>
    </w:rPr>
  </w:style>
  <w:style w:type="paragraph" w:customStyle="1" w:styleId="Vnbnnidung0">
    <w:name w:val="Văn bản nội dung"/>
    <w:basedOn w:val="Normal"/>
    <w:link w:val="Vnbnnidung"/>
    <w:pPr>
      <w:widowControl w:val="0"/>
      <w:spacing w:after="40" w:line="257" w:lineRule="auto"/>
      <w:ind w:firstLine="20"/>
    </w:pPr>
    <w:rPr>
      <w:rFonts w:eastAsia="Times New Roman" w:cs="Times New Roman"/>
      <w:color w:val="221D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c.tayninh.gov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UBND TỈNH TÂY NINH         CỘNG HÒA XÃ HỘI CHỦ NGHĨA VIỆT NAM</vt:lpstr>
      <vt:lpstr>HỘI ĐỒNG ĐỊNH GIÁ 	Độc lập - Tự do - Hạnh phúc</vt:lpstr>
      <vt:lpstr>TX TRONG TTHS	     </vt:lpstr>
      <vt:lpstr>––––––––	     ––––––––––––––––––––––––––</vt:lpstr>
      <vt:lpstr>/	Số:         /CV-HĐĐGTS	        Tây Ninh, ngày       tháng  11  năm 2025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120</cp:revision>
  <cp:lastPrinted>2025-11-26T09:08:00Z</cp:lastPrinted>
  <dcterms:created xsi:type="dcterms:W3CDTF">2024-03-18T03:04:00Z</dcterms:created>
  <dcterms:modified xsi:type="dcterms:W3CDTF">2025-11-26T09:10:00Z</dcterms:modified>
</cp:coreProperties>
</file>